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FBD0" w14:textId="77777777" w:rsidR="00846EC0" w:rsidRDefault="00846EC0" w:rsidP="00846EC0">
      <w:pPr>
        <w:spacing w:line="480" w:lineRule="auto"/>
        <w:jc w:val="center"/>
      </w:pPr>
    </w:p>
    <w:p w14:paraId="62D839C8" w14:textId="77777777" w:rsidR="00846EC0" w:rsidRDefault="00846EC0" w:rsidP="00846EC0">
      <w:pPr>
        <w:spacing w:line="480" w:lineRule="auto"/>
        <w:jc w:val="center"/>
      </w:pPr>
    </w:p>
    <w:p w14:paraId="1AB6992C" w14:textId="77777777" w:rsidR="00846EC0" w:rsidRDefault="00846EC0" w:rsidP="00846EC0">
      <w:pPr>
        <w:spacing w:line="480" w:lineRule="auto"/>
        <w:jc w:val="center"/>
      </w:pPr>
    </w:p>
    <w:p w14:paraId="3F6D4B54" w14:textId="77777777" w:rsidR="00846EC0" w:rsidRDefault="00846EC0" w:rsidP="00846EC0">
      <w:pPr>
        <w:spacing w:line="480" w:lineRule="auto"/>
        <w:jc w:val="center"/>
      </w:pPr>
    </w:p>
    <w:p w14:paraId="2E492F29" w14:textId="77777777" w:rsidR="00846EC0" w:rsidRDefault="00846EC0" w:rsidP="00846EC0">
      <w:pPr>
        <w:spacing w:line="480" w:lineRule="auto"/>
        <w:jc w:val="center"/>
      </w:pPr>
    </w:p>
    <w:p w14:paraId="307F46E8" w14:textId="77777777" w:rsidR="00846EC0" w:rsidRDefault="00846EC0" w:rsidP="00846EC0">
      <w:pPr>
        <w:spacing w:line="480" w:lineRule="auto"/>
        <w:jc w:val="center"/>
      </w:pPr>
    </w:p>
    <w:p w14:paraId="4CC7C879" w14:textId="77777777" w:rsidR="00846EC0" w:rsidRDefault="00846EC0" w:rsidP="00846EC0">
      <w:pPr>
        <w:spacing w:line="480" w:lineRule="auto"/>
        <w:jc w:val="center"/>
      </w:pPr>
    </w:p>
    <w:p w14:paraId="10D8FC43" w14:textId="77777777" w:rsidR="00846EC0" w:rsidRDefault="00846EC0" w:rsidP="00846EC0">
      <w:pPr>
        <w:spacing w:line="480" w:lineRule="auto"/>
        <w:jc w:val="center"/>
      </w:pPr>
    </w:p>
    <w:p w14:paraId="468FBE70" w14:textId="77777777" w:rsidR="00846EC0" w:rsidRDefault="00846EC0" w:rsidP="00846EC0">
      <w:pPr>
        <w:spacing w:line="480" w:lineRule="auto"/>
        <w:jc w:val="center"/>
      </w:pPr>
    </w:p>
    <w:p w14:paraId="47FAEED3" w14:textId="6F52623D" w:rsidR="00F303CD" w:rsidRDefault="00F303CD" w:rsidP="00846EC0">
      <w:pPr>
        <w:spacing w:line="480" w:lineRule="auto"/>
        <w:jc w:val="center"/>
      </w:pPr>
      <w:r>
        <w:t xml:space="preserve">Charitable Contributions and Debt: A Comparison of St. </w:t>
      </w:r>
      <w:r w:rsidR="005E7357">
        <w:t>J</w:t>
      </w:r>
      <w:r>
        <w:t>ude Children’s Research Hospital</w:t>
      </w:r>
      <w:r w:rsidR="00DB3660">
        <w:t>/ALSAC</w:t>
      </w:r>
      <w:r>
        <w:t xml:space="preserve"> and Universal Health Services</w:t>
      </w:r>
    </w:p>
    <w:p w14:paraId="08938EAA" w14:textId="2C9EEF1D" w:rsidR="005E7357" w:rsidRDefault="005E7357" w:rsidP="00846EC0">
      <w:pPr>
        <w:spacing w:line="480" w:lineRule="auto"/>
        <w:jc w:val="center"/>
      </w:pPr>
      <w:r>
        <w:t>Name</w:t>
      </w:r>
    </w:p>
    <w:p w14:paraId="6847E66D" w14:textId="5121D721" w:rsidR="005E7357" w:rsidRDefault="005E7357" w:rsidP="00846EC0">
      <w:pPr>
        <w:spacing w:line="480" w:lineRule="auto"/>
        <w:jc w:val="center"/>
      </w:pPr>
      <w:r>
        <w:t>Institution</w:t>
      </w:r>
    </w:p>
    <w:p w14:paraId="1A46F165" w14:textId="5AEE3114" w:rsidR="005E7357" w:rsidRDefault="005E7357" w:rsidP="00846EC0">
      <w:pPr>
        <w:spacing w:line="480" w:lineRule="auto"/>
        <w:jc w:val="center"/>
      </w:pPr>
      <w:r>
        <w:t>Date</w:t>
      </w:r>
    </w:p>
    <w:p w14:paraId="22E516C9" w14:textId="77777777" w:rsidR="00846EC0" w:rsidRDefault="00846EC0" w:rsidP="00846EC0">
      <w:pPr>
        <w:spacing w:line="480" w:lineRule="auto"/>
        <w:jc w:val="center"/>
      </w:pPr>
    </w:p>
    <w:p w14:paraId="4A06FAFE" w14:textId="77777777" w:rsidR="00846EC0" w:rsidRDefault="00846EC0" w:rsidP="00846EC0">
      <w:pPr>
        <w:spacing w:line="480" w:lineRule="auto"/>
        <w:jc w:val="center"/>
      </w:pPr>
    </w:p>
    <w:p w14:paraId="57EDEF7B" w14:textId="77777777" w:rsidR="00846EC0" w:rsidRDefault="00846EC0" w:rsidP="00846EC0">
      <w:pPr>
        <w:spacing w:line="480" w:lineRule="auto"/>
        <w:jc w:val="center"/>
      </w:pPr>
    </w:p>
    <w:p w14:paraId="7EDDA8B9" w14:textId="08D7C003" w:rsidR="005E7357" w:rsidRDefault="005E7357" w:rsidP="00846EC0">
      <w:pPr>
        <w:spacing w:line="480" w:lineRule="auto"/>
        <w:jc w:val="center"/>
      </w:pPr>
      <w:r>
        <w:lastRenderedPageBreak/>
        <w:t>Charitable Contributions and Debt: A Comparison of St. Jude Children’s Research Hospital/ALSAC and Universal Health Services</w:t>
      </w:r>
    </w:p>
    <w:p w14:paraId="462D6296" w14:textId="5E7C606B" w:rsidR="00DB3660" w:rsidRPr="005E7357" w:rsidRDefault="00DB3660" w:rsidP="00846EC0">
      <w:pPr>
        <w:spacing w:line="480" w:lineRule="auto"/>
        <w:jc w:val="center"/>
        <w:rPr>
          <w:b/>
          <w:bCs/>
        </w:rPr>
      </w:pPr>
      <w:r w:rsidRPr="005E7357">
        <w:rPr>
          <w:b/>
          <w:bCs/>
        </w:rPr>
        <w:t>Requirement A: Recording Revenue</w:t>
      </w:r>
    </w:p>
    <w:p w14:paraId="5256FEBE" w14:textId="77777777" w:rsidR="00F61A86" w:rsidRPr="00F61A86" w:rsidRDefault="00F61A86" w:rsidP="00846EC0">
      <w:pPr>
        <w:pStyle w:val="ListParagraph"/>
        <w:numPr>
          <w:ilvl w:val="0"/>
          <w:numId w:val="1"/>
        </w:numPr>
        <w:spacing w:line="480" w:lineRule="auto"/>
        <w:rPr>
          <w:b/>
          <w:bCs/>
        </w:rPr>
      </w:pPr>
      <w:r w:rsidRPr="00F61A86">
        <w:rPr>
          <w:b/>
          <w:bCs/>
        </w:rPr>
        <w:t>What is meant by the reference in Table 5.3-1 means to an FAS116 Adjustment?</w:t>
      </w:r>
    </w:p>
    <w:p w14:paraId="79E736EE" w14:textId="5CC420C1" w:rsidR="009717DA" w:rsidRDefault="00F303CD" w:rsidP="00846EC0">
      <w:pPr>
        <w:spacing w:line="480" w:lineRule="auto"/>
        <w:ind w:firstLine="360"/>
      </w:pPr>
      <w:r>
        <w:t xml:space="preserve">The reference </w:t>
      </w:r>
      <w:r w:rsidR="00DB3660">
        <w:t xml:space="preserve">in table 5.3-1 represents FAS 116 as a schedule of differed debits and credits by contract. </w:t>
      </w:r>
      <w:r w:rsidR="002B6CDB">
        <w:t xml:space="preserve"> Statement of Financial Account Standards 116 is the primary guidance that provides accounting principles for recording contributions (offered or received) by not-for-profit organizations (NFPs). It is noteworthy that FAS116 only covers contribution revenue and not exchange transactions like program service revenue or certain grants</w:t>
      </w:r>
      <w:r w:rsidR="00F61A86">
        <w:t>. Specifically, FAS116</w:t>
      </w:r>
      <w:r w:rsidR="002B6CDB">
        <w:t xml:space="preserve"> utilizes the accrual</w:t>
      </w:r>
      <w:r w:rsidR="00F61A86">
        <w:t>-</w:t>
      </w:r>
      <w:r w:rsidR="002B6CDB">
        <w:t>based accounting, which is pledges receivable</w:t>
      </w:r>
      <w:r w:rsidR="00F61A86">
        <w:t>; for this reason, pledges in an FAS116 must be referenced by the year pledged. In table 5.3-1, the reference shows that the pledges were made in 1999 but were to be fulfilled in in subsequent fiscal year as shown by the term ‘deferred’. Therefore, the reference in table 5.3-1 simpl</w:t>
      </w:r>
      <w:r w:rsidR="00D61877">
        <w:t>y</w:t>
      </w:r>
      <w:r w:rsidR="00F61A86">
        <w:t xml:space="preserve"> implies that they will be fulfilled in the fiscal year 2000. </w:t>
      </w:r>
    </w:p>
    <w:p w14:paraId="4C5BF209" w14:textId="4E6A44D1" w:rsidR="00F61A86" w:rsidRPr="00D84C09" w:rsidRDefault="00F61A86" w:rsidP="00846EC0">
      <w:pPr>
        <w:pStyle w:val="ListParagraph"/>
        <w:numPr>
          <w:ilvl w:val="0"/>
          <w:numId w:val="1"/>
        </w:numPr>
        <w:spacing w:line="480" w:lineRule="auto"/>
        <w:rPr>
          <w:b/>
          <w:bCs/>
        </w:rPr>
      </w:pPr>
      <w:r w:rsidRPr="00D84C09">
        <w:rPr>
          <w:b/>
          <w:bCs/>
        </w:rPr>
        <w:t>How are Contributions Recorded? Is there a distinction between pledges receivable and accounts receivable</w:t>
      </w:r>
      <w:r w:rsidR="00E82FA4" w:rsidRPr="00D84C09">
        <w:rPr>
          <w:b/>
          <w:bCs/>
        </w:rPr>
        <w:t>?</w:t>
      </w:r>
    </w:p>
    <w:p w14:paraId="5DDEE010" w14:textId="426C32AD" w:rsidR="00E82FA4" w:rsidRDefault="00EB5FD6" w:rsidP="00846EC0">
      <w:pPr>
        <w:spacing w:line="480" w:lineRule="auto"/>
        <w:ind w:firstLine="360"/>
      </w:pPr>
      <w:r>
        <w:t xml:space="preserve">Contributions are recorded as a fair value of the assets received, services received, or liabilities settled. The contributions can be direct or indirect public support or even governmental support. It is worth to note that the contributions are recorded immediately the funds (or any contribution) is made or when the pledges are made. </w:t>
      </w:r>
      <w:r w:rsidR="00A32AEC">
        <w:t xml:space="preserve">There is a difference between pledges received and accounts receivable. Pledges receivable simply implies that a donor has promised to </w:t>
      </w:r>
      <w:r w:rsidR="00A32AEC">
        <w:lastRenderedPageBreak/>
        <w:t>contribute funds or other assets to an organization, but a later date.</w:t>
      </w:r>
      <w:r w:rsidR="00D84C09">
        <w:t xml:space="preserve"> Pledges receivable can be conditional or unconditional. </w:t>
      </w:r>
      <w:r w:rsidR="00A32AEC">
        <w:t xml:space="preserve">On the other hand, accounts receivable </w:t>
      </w:r>
      <w:r w:rsidR="005E7C54">
        <w:t>implies</w:t>
      </w:r>
      <w:r w:rsidR="00A32AEC">
        <w:t xml:space="preserve"> </w:t>
      </w:r>
      <w:r w:rsidR="00D84C09">
        <w:t xml:space="preserve">to revenues that are recognized an organization but have not yet been collected. </w:t>
      </w:r>
      <w:r w:rsidR="005E7C54">
        <w:t xml:space="preserve">Based on Table 5.3-1 for the fiscal year ended 1999, unlike ALSAC which records both accounts receivable and pledges receivable, St. Jude Children’s research hospital only records accounts receivable and does not recognize pledges receivable. </w:t>
      </w:r>
      <w:r w:rsidR="00C40EA3">
        <w:t xml:space="preserve">The rationale behind the contribution recording by St. Jude is because contributions should be unconditional. </w:t>
      </w:r>
    </w:p>
    <w:p w14:paraId="0814A080" w14:textId="3D207113" w:rsidR="00D84C09" w:rsidRDefault="00D84C09" w:rsidP="00846EC0">
      <w:pPr>
        <w:pStyle w:val="ListParagraph"/>
        <w:numPr>
          <w:ilvl w:val="0"/>
          <w:numId w:val="1"/>
        </w:numPr>
        <w:spacing w:line="480" w:lineRule="auto"/>
        <w:rPr>
          <w:b/>
          <w:bCs/>
        </w:rPr>
      </w:pPr>
      <w:r w:rsidRPr="00D84C09">
        <w:rPr>
          <w:b/>
          <w:bCs/>
        </w:rPr>
        <w:t>Are there circumstances when financial statements can quantify volunteers’ services</w:t>
      </w:r>
    </w:p>
    <w:p w14:paraId="209EC5AA" w14:textId="239653DC" w:rsidR="006A38D7" w:rsidRPr="006A38D7" w:rsidRDefault="006A38D7" w:rsidP="00846EC0">
      <w:pPr>
        <w:spacing w:line="480" w:lineRule="auto"/>
        <w:ind w:firstLine="360"/>
      </w:pPr>
      <w:r>
        <w:t xml:space="preserve">The financial information provided in the case St. Jude’s shows that they have not quantified the value of volunteers’ services. However, there some circumstances </w:t>
      </w:r>
      <w:r w:rsidR="00C40EA3">
        <w:t>when financial statements can quantify volunteers’ services. For example, in the case of St. Jude, suppose the organization needed coding, which is payable on a timely basis and volunteer coders decided to offer the services. In this case, the organization can easily quantify the volunteer time. Moreover, the Financial Accounting Standards Board 116 holds that volunteer time can be quantified</w:t>
      </w:r>
      <w:r w:rsidR="000E0CF2">
        <w:t xml:space="preserve"> in an effort by the organization to recognize volunteer services</w:t>
      </w:r>
      <w:r w:rsidR="00846EC0">
        <w:t xml:space="preserve"> Thomas et al., 2014</w:t>
      </w:r>
      <w:r w:rsidR="000E0CF2">
        <w:t xml:space="preserve">. </w:t>
      </w:r>
      <w:r w:rsidR="00C40EA3">
        <w:t xml:space="preserve"> </w:t>
      </w:r>
    </w:p>
    <w:p w14:paraId="07D0B3A0" w14:textId="06908166" w:rsidR="00D84C09" w:rsidRDefault="00D84C09" w:rsidP="00846EC0">
      <w:pPr>
        <w:pStyle w:val="ListParagraph"/>
        <w:numPr>
          <w:ilvl w:val="0"/>
          <w:numId w:val="1"/>
        </w:numPr>
        <w:spacing w:line="480" w:lineRule="auto"/>
        <w:rPr>
          <w:b/>
          <w:bCs/>
        </w:rPr>
      </w:pPr>
      <w:r w:rsidRPr="00D84C09">
        <w:rPr>
          <w:b/>
          <w:bCs/>
        </w:rPr>
        <w:t>Can financial statement users of not-for-profit hospitals’ financial statements expect to be fully informed regarding affiliated parties, such as the linkages between St. Jude Children’s Research Hospital, ALSAC, and the foundation cited? Explain.</w:t>
      </w:r>
    </w:p>
    <w:p w14:paraId="70C0E105" w14:textId="7EFF663E" w:rsidR="000E0CF2" w:rsidRDefault="000E0CF2" w:rsidP="00846EC0">
      <w:pPr>
        <w:spacing w:line="480" w:lineRule="auto"/>
        <w:ind w:firstLine="360"/>
      </w:pPr>
      <w:r w:rsidRPr="000E0CF2">
        <w:t xml:space="preserve">Financial statement users of not-for-profit hospitals can expect to be fully informed regarding affiliated parties. </w:t>
      </w:r>
      <w:r>
        <w:t xml:space="preserve">One of the stipulations by the Financial Accounting Policies Committee (FAPC) is for users to have a full, transparent, and accurate information about an organization’s </w:t>
      </w:r>
      <w:r>
        <w:lastRenderedPageBreak/>
        <w:t>commitments to allow them to assess the firm’s potential future profits as well as risks</w:t>
      </w:r>
      <w:r w:rsidR="00846EC0">
        <w:t xml:space="preserve"> (Thomas et al., 2014)</w:t>
      </w:r>
      <w:r>
        <w:t>. In the case study, St. Jude Children’s hospital is directly affiliated with ALSAC; as a result, it is directly affected by the information provided by ALSAC’s financial statements</w:t>
      </w:r>
      <w:r w:rsidR="007B7E10">
        <w:t xml:space="preserve">; for this reason, it is mandatory for St. Jude Children’s hospital to have all the information of the ALSAC to allow it to evaluate all the potential risks/benefits emanating from the affiliation. </w:t>
      </w:r>
      <w:r w:rsidR="000D6DE4">
        <w:t>In the same vein, if St. Jude Children’s hospital does not provide full information about its affiliated entities to the users, the financial statements would be rendered as inaccurate.</w:t>
      </w:r>
    </w:p>
    <w:p w14:paraId="29D02801" w14:textId="026ACE3B" w:rsidR="007B7E10" w:rsidRPr="00846EC0" w:rsidRDefault="007B7E10" w:rsidP="00846EC0">
      <w:pPr>
        <w:spacing w:line="480" w:lineRule="auto"/>
        <w:jc w:val="center"/>
        <w:rPr>
          <w:b/>
          <w:bCs/>
        </w:rPr>
      </w:pPr>
      <w:r w:rsidRPr="00846EC0">
        <w:rPr>
          <w:b/>
          <w:bCs/>
        </w:rPr>
        <w:t>Requirement B: Revenue Mix (Strategy-Related Considerations)</w:t>
      </w:r>
    </w:p>
    <w:p w14:paraId="5676572B" w14:textId="6E492B34" w:rsidR="007B7E10" w:rsidRDefault="007B7E10" w:rsidP="00846EC0">
      <w:pPr>
        <w:pStyle w:val="ListParagraph"/>
        <w:numPr>
          <w:ilvl w:val="0"/>
          <w:numId w:val="2"/>
        </w:numPr>
        <w:spacing w:line="480" w:lineRule="auto"/>
        <w:rPr>
          <w:b/>
          <w:bCs/>
        </w:rPr>
      </w:pPr>
      <w:r w:rsidRPr="000D6DE4">
        <w:rPr>
          <w:b/>
          <w:bCs/>
        </w:rPr>
        <w:t>How does this revenue mix compare with the revenue blend of the not-for-profit enti</w:t>
      </w:r>
      <w:r w:rsidR="000D6DE4" w:rsidRPr="000D6DE4">
        <w:rPr>
          <w:b/>
          <w:bCs/>
        </w:rPr>
        <w:t>t</w:t>
      </w:r>
      <w:r w:rsidRPr="000D6DE4">
        <w:rPr>
          <w:b/>
          <w:bCs/>
        </w:rPr>
        <w:t>y, St. Jude Children’s Research Hospital/ALSAC? Access the latest SEC filing and compare the reported revenue mix: has it changed?</w:t>
      </w:r>
    </w:p>
    <w:p w14:paraId="0838931A" w14:textId="48D64698" w:rsidR="00B94DF3" w:rsidRDefault="000D0366" w:rsidP="00846EC0">
      <w:pPr>
        <w:spacing w:line="480" w:lineRule="auto"/>
        <w:ind w:firstLine="360"/>
      </w:pPr>
      <w:r>
        <w:t>According to the 10K filling of Universal health Services INC., provided i</w:t>
      </w:r>
      <w:r w:rsidR="00FE2242" w:rsidRPr="00FE2242">
        <w:t xml:space="preserve">n Table </w:t>
      </w:r>
      <w:r w:rsidR="00FE2242">
        <w:t>5.3-3, the pati</w:t>
      </w:r>
      <w:r w:rsidR="00BF0676">
        <w:t>ent</w:t>
      </w:r>
      <w:r w:rsidR="00FE2242">
        <w:t xml:space="preserve"> revenue mix is made up of </w:t>
      </w:r>
      <w:r>
        <w:t>third-party</w:t>
      </w:r>
      <w:r w:rsidR="00FE2242">
        <w:t xml:space="preserve"> payors, which consists of Medicare, Medicaid, Manage Care (HMOs and PPOs), and other sources. </w:t>
      </w:r>
      <w:r>
        <w:t xml:space="preserve">On the contrary, the revenue of St. Jude children’s hospital consists of government’s contribution in grants, program service revenue, and non-governmental sources. The latest SEC filling </w:t>
      </w:r>
      <w:r w:rsidR="0054737C">
        <w:t>is for the fiscal year as at December 31, 2019. Unlike the investor owned, which primarily rely on insurance care, such as Medicare and Medicaid, it is apparent that not-for-profit hospitals primarily relies on contributions from donors. The 2019 SEC filling shows that managed care contributes to the biggest percentage of revenue</w:t>
      </w:r>
      <w:r w:rsidR="00846EC0">
        <w:t xml:space="preserve"> (UHS, 2020)</w:t>
      </w:r>
      <w:r w:rsidR="0054737C">
        <w:t>.</w:t>
      </w:r>
      <w:r w:rsidR="00B94DF3">
        <w:t xml:space="preserve"> In Table 5.3-3, the revenue increases consistently from 1996 to 2000, and still on the rise in 2019, as shown in the 2019 SEC filling. By comparing the revenue contribution of managed care and other sources in the period between 1996-2000, it shows that </w:t>
      </w:r>
      <w:r w:rsidR="00B94DF3">
        <w:lastRenderedPageBreak/>
        <w:t>while there were slight fluctuations on Medicare contribution, on average Medicare contribution was slightly higher. However, the last update of SEC filling hints that Medicare contribution is way too low compared to managed care, probably because of the policy changes like the 2010 Affordable Care Act, where low-income individuals greatly benefited on Medicare.</w:t>
      </w:r>
    </w:p>
    <w:p w14:paraId="0D37DA44" w14:textId="3A81EA38" w:rsidR="00B94DF3" w:rsidRDefault="007B7E10" w:rsidP="00846EC0">
      <w:pPr>
        <w:pStyle w:val="ListParagraph"/>
        <w:numPr>
          <w:ilvl w:val="0"/>
          <w:numId w:val="2"/>
        </w:numPr>
        <w:spacing w:line="480" w:lineRule="auto"/>
        <w:rPr>
          <w:b/>
          <w:bCs/>
        </w:rPr>
      </w:pPr>
      <w:r w:rsidRPr="00B94DF3">
        <w:rPr>
          <w:b/>
          <w:bCs/>
        </w:rPr>
        <w:t xml:space="preserve">What does that imply as to the strategies of investor-owned hospitals in managing risk and ensuring adequate capital relative to not-for-profit entities? An opportunity exists to explore the greater social and political questions that are frequently debated about the compatibility of profit-oriented entities and quality of healthcare, relative to not-for-profit entities. As background, identify what the latest SEC fillings report concerning charity care.  </w:t>
      </w:r>
    </w:p>
    <w:p w14:paraId="25033492" w14:textId="7314FB40" w:rsidR="0044516E" w:rsidRDefault="0044516E" w:rsidP="00980096">
      <w:pPr>
        <w:spacing w:line="480" w:lineRule="auto"/>
        <w:jc w:val="center"/>
        <w:rPr>
          <w:b/>
          <w:bCs/>
        </w:rPr>
      </w:pPr>
      <w:r>
        <w:rPr>
          <w:b/>
          <w:bCs/>
        </w:rPr>
        <w:t>How would your Answers differ if the government owned and Operated the hospital?</w:t>
      </w:r>
    </w:p>
    <w:p w14:paraId="503B6D93" w14:textId="02199D60" w:rsidR="00B94DF3" w:rsidRDefault="001E3D7A" w:rsidP="00846EC0">
      <w:pPr>
        <w:spacing w:line="480" w:lineRule="auto"/>
        <w:ind w:firstLine="360"/>
      </w:pPr>
      <w:r w:rsidRPr="001E3D7A">
        <w:t xml:space="preserve">While all healthcare providers have a goal of providing quality care to the patients, the strategies integrated by investor-owned hospitals in managing risk vary from those incorporated by not-for-profit entities. </w:t>
      </w:r>
      <w:r>
        <w:t xml:space="preserve">Usually, the primary goal of a not-for-profit hospitals is to provide quality care, while the investor-owned hospitals have two goals: provide quality care and make profit. As a result, investor-owned hospitals have to adopt strategic to manage risks and gain profits. Thus, the strategies of investor-owned hospitals are aligned with commercial plans while those of not-for-profit hospitals are aligned with quality care.  As apparent in the 2019 SEC filling, investor-owned hospitals have shifted from Medicare and other payments modes to private payment and managed care plans. </w:t>
      </w:r>
      <w:r w:rsidR="005E7357">
        <w:t xml:space="preserve">Again, investor-owned hospitals have to put focus on the quality of care in order to gain referrals and returning customers. Therefore, the primary </w:t>
      </w:r>
      <w:r w:rsidR="005E7357">
        <w:lastRenderedPageBreak/>
        <w:t xml:space="preserve">difference between not-for-profit hospitals and investor-owned hospitals is on the cost of care provision because investor-owned hospitals has to generate profit for the investors. </w:t>
      </w:r>
    </w:p>
    <w:p w14:paraId="297FE54A" w14:textId="77777777" w:rsidR="00D93339" w:rsidRPr="00980096" w:rsidRDefault="00D93339" w:rsidP="00D93339">
      <w:pPr>
        <w:spacing w:line="480" w:lineRule="auto"/>
        <w:ind w:firstLine="360"/>
      </w:pPr>
      <w:r w:rsidRPr="00980096">
        <w:t>In Requirement A, if the government owned the hospital, it means that the source of revenue would be mainly from the government; however, revenue would still be recorded through the accrual approach. Thus, government ownership will affect the source of revenue but does not affect revenue recording.</w:t>
      </w:r>
    </w:p>
    <w:p w14:paraId="2A8C0061" w14:textId="77777777" w:rsidR="00D93339" w:rsidRPr="00980096" w:rsidRDefault="00D93339" w:rsidP="00D93339">
      <w:pPr>
        <w:spacing w:line="480" w:lineRule="auto"/>
        <w:ind w:firstLine="360"/>
      </w:pPr>
      <w:bookmarkStart w:id="0" w:name="_GoBack"/>
      <w:bookmarkEnd w:id="0"/>
      <w:r w:rsidRPr="00980096">
        <w:t>In Requirement B, the government would adopt similar strategies like the not-for-profit hospitals. Usually, the government is not after profitable returns, and thus, they will adopt unprofitable strategies that put emphasis on the quality of care.</w:t>
      </w:r>
    </w:p>
    <w:p w14:paraId="2BB713D0" w14:textId="77777777" w:rsidR="00D93339" w:rsidRDefault="00D93339" w:rsidP="00846EC0">
      <w:pPr>
        <w:spacing w:line="480" w:lineRule="auto"/>
        <w:ind w:firstLine="360"/>
      </w:pPr>
    </w:p>
    <w:p w14:paraId="26ACB5A0" w14:textId="77777777" w:rsidR="00980096" w:rsidRDefault="00980096" w:rsidP="00846EC0">
      <w:pPr>
        <w:spacing w:line="480" w:lineRule="auto"/>
        <w:jc w:val="center"/>
      </w:pPr>
    </w:p>
    <w:p w14:paraId="570331B7" w14:textId="77777777" w:rsidR="00980096" w:rsidRDefault="00980096" w:rsidP="00846EC0">
      <w:pPr>
        <w:spacing w:line="480" w:lineRule="auto"/>
        <w:jc w:val="center"/>
      </w:pPr>
    </w:p>
    <w:p w14:paraId="2FDB364E" w14:textId="77777777" w:rsidR="00980096" w:rsidRDefault="00980096" w:rsidP="00846EC0">
      <w:pPr>
        <w:spacing w:line="480" w:lineRule="auto"/>
        <w:jc w:val="center"/>
      </w:pPr>
    </w:p>
    <w:p w14:paraId="4AD41F43" w14:textId="77777777" w:rsidR="00980096" w:rsidRDefault="00980096" w:rsidP="00846EC0">
      <w:pPr>
        <w:spacing w:line="480" w:lineRule="auto"/>
        <w:jc w:val="center"/>
      </w:pPr>
    </w:p>
    <w:p w14:paraId="54B1A120" w14:textId="77777777" w:rsidR="00980096" w:rsidRDefault="00980096" w:rsidP="00846EC0">
      <w:pPr>
        <w:spacing w:line="480" w:lineRule="auto"/>
        <w:jc w:val="center"/>
      </w:pPr>
    </w:p>
    <w:p w14:paraId="500C8FE7" w14:textId="77777777" w:rsidR="00980096" w:rsidRDefault="00980096" w:rsidP="00846EC0">
      <w:pPr>
        <w:spacing w:line="480" w:lineRule="auto"/>
        <w:jc w:val="center"/>
      </w:pPr>
    </w:p>
    <w:p w14:paraId="5A168867" w14:textId="77777777" w:rsidR="00980096" w:rsidRDefault="00980096" w:rsidP="00846EC0">
      <w:pPr>
        <w:spacing w:line="480" w:lineRule="auto"/>
        <w:jc w:val="center"/>
      </w:pPr>
    </w:p>
    <w:p w14:paraId="7EE9F006" w14:textId="77777777" w:rsidR="00980096" w:rsidRDefault="00980096" w:rsidP="00846EC0">
      <w:pPr>
        <w:spacing w:line="480" w:lineRule="auto"/>
        <w:jc w:val="center"/>
      </w:pPr>
    </w:p>
    <w:p w14:paraId="68665F29" w14:textId="77777777" w:rsidR="00980096" w:rsidRDefault="00980096" w:rsidP="00846EC0">
      <w:pPr>
        <w:spacing w:line="480" w:lineRule="auto"/>
        <w:jc w:val="center"/>
      </w:pPr>
    </w:p>
    <w:p w14:paraId="33B67365" w14:textId="77777777" w:rsidR="00980096" w:rsidRDefault="00980096" w:rsidP="00846EC0">
      <w:pPr>
        <w:spacing w:line="480" w:lineRule="auto"/>
        <w:jc w:val="center"/>
      </w:pPr>
    </w:p>
    <w:p w14:paraId="622BA061" w14:textId="3A5D98AA" w:rsidR="005E7357" w:rsidRPr="001E3D7A" w:rsidRDefault="005E7357" w:rsidP="00846EC0">
      <w:pPr>
        <w:spacing w:line="480" w:lineRule="auto"/>
        <w:jc w:val="center"/>
      </w:pPr>
      <w:r>
        <w:t>References</w:t>
      </w:r>
    </w:p>
    <w:p w14:paraId="49F6229D" w14:textId="77777777" w:rsidR="00EC19DA" w:rsidRDefault="00EC19DA" w:rsidP="00846EC0">
      <w:pPr>
        <w:pStyle w:val="Bibliography"/>
        <w:spacing w:line="480" w:lineRule="auto"/>
        <w:ind w:left="720" w:hanging="720"/>
        <w:rPr>
          <w:noProof/>
          <w:szCs w:val="24"/>
        </w:rPr>
      </w:pPr>
      <w:r>
        <w:fldChar w:fldCharType="begin"/>
      </w:r>
      <w:r>
        <w:instrText xml:space="preserve"> BIBLIOGRAPHY  \l 1033 </w:instrText>
      </w:r>
      <w:r>
        <w:fldChar w:fldCharType="separate"/>
      </w:r>
      <w:r>
        <w:rPr>
          <w:noProof/>
        </w:rPr>
        <w:t xml:space="preserve">Thomas, H., Guertin, A., Held, B., Smith, C., Rosati, D., HayHurst, D., . . . Walker, J. (2014). </w:t>
      </w:r>
      <w:r>
        <w:rPr>
          <w:i/>
          <w:iCs/>
          <w:noProof/>
        </w:rPr>
        <w:t>A Guide to Financial to Financial Statements of Not-For-Profit Organizations: Questions For Directors to Ask.</w:t>
      </w:r>
      <w:r>
        <w:rPr>
          <w:noProof/>
        </w:rPr>
        <w:t xml:space="preserve"> Toronto, Ontario: The Canadian Institute of Chartered Accountants .</w:t>
      </w:r>
    </w:p>
    <w:p w14:paraId="029ACCF0" w14:textId="77777777" w:rsidR="00EC19DA" w:rsidRDefault="00EC19DA" w:rsidP="00846EC0">
      <w:pPr>
        <w:pStyle w:val="Bibliography"/>
        <w:spacing w:line="480" w:lineRule="auto"/>
        <w:ind w:left="720" w:hanging="720"/>
        <w:rPr>
          <w:noProof/>
        </w:rPr>
      </w:pPr>
      <w:r>
        <w:rPr>
          <w:noProof/>
        </w:rPr>
        <w:t xml:space="preserve">UHS. (2020, February 26). </w:t>
      </w:r>
      <w:r>
        <w:rPr>
          <w:i/>
          <w:iCs/>
          <w:noProof/>
        </w:rPr>
        <w:t>Universal Health Services INC (UHS) SEC Filling 10-K Annual Report for the Fiscal Year ending Tuesday, December 31, 2019</w:t>
      </w:r>
      <w:r>
        <w:rPr>
          <w:noProof/>
        </w:rPr>
        <w:t>. Retrieved from Last10k.com: https://last10k.com/sec-filings/uhs</w:t>
      </w:r>
    </w:p>
    <w:p w14:paraId="2F0B1C54" w14:textId="07B4B5E2" w:rsidR="00D84C09" w:rsidRPr="001E3D7A" w:rsidRDefault="00EC19DA" w:rsidP="00846EC0">
      <w:pPr>
        <w:spacing w:line="480" w:lineRule="auto"/>
      </w:pPr>
      <w:r>
        <w:fldChar w:fldCharType="end"/>
      </w:r>
    </w:p>
    <w:sectPr w:rsidR="00D84C09" w:rsidRPr="001E3D7A" w:rsidSect="005E735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D43E9" w14:textId="77777777" w:rsidR="00D62CF3" w:rsidRDefault="00D62CF3" w:rsidP="005E7357">
      <w:pPr>
        <w:spacing w:after="0" w:line="240" w:lineRule="auto"/>
      </w:pPr>
      <w:r>
        <w:separator/>
      </w:r>
    </w:p>
  </w:endnote>
  <w:endnote w:type="continuationSeparator" w:id="0">
    <w:p w14:paraId="0A3E94E8" w14:textId="77777777" w:rsidR="00D62CF3" w:rsidRDefault="00D62CF3" w:rsidP="005E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771CE" w14:textId="77777777" w:rsidR="00D62CF3" w:rsidRDefault="00D62CF3" w:rsidP="005E7357">
      <w:pPr>
        <w:spacing w:after="0" w:line="240" w:lineRule="auto"/>
      </w:pPr>
      <w:r>
        <w:separator/>
      </w:r>
    </w:p>
  </w:footnote>
  <w:footnote w:type="continuationSeparator" w:id="0">
    <w:p w14:paraId="42313473" w14:textId="77777777" w:rsidR="00D62CF3" w:rsidRDefault="00D62CF3" w:rsidP="005E7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0217D" w14:textId="77777777" w:rsidR="005E7357" w:rsidRPr="00072D21" w:rsidRDefault="005E7357" w:rsidP="005E7357">
    <w:r>
      <w:t>CHARITABLE CONTRIBUTIONS AND DEBT: A COMPARISON OF ST. JUDE CHILDREN’S RESEARCH HOSPITAL/ALSAC AND UNIVERSAL HEALTH SERVICES</w:t>
    </w:r>
  </w:p>
  <w:sdt>
    <w:sdtPr>
      <w:id w:val="121128568"/>
      <w:docPartObj>
        <w:docPartGallery w:val="Page Numbers (Top of Page)"/>
        <w:docPartUnique/>
      </w:docPartObj>
    </w:sdtPr>
    <w:sdtEndPr>
      <w:rPr>
        <w:noProof/>
      </w:rPr>
    </w:sdtEndPr>
    <w:sdtContent>
      <w:p w14:paraId="2F7A7FC4" w14:textId="35366A65" w:rsidR="005E7357" w:rsidRDefault="005E73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93A192" w14:textId="77777777" w:rsidR="005E7357" w:rsidRDefault="005E7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85A2" w14:textId="44E2A798" w:rsidR="005E7357" w:rsidRDefault="005E7357" w:rsidP="005E7357">
    <w:pPr>
      <w:pStyle w:val="Header"/>
    </w:pPr>
    <w:r>
      <w:t xml:space="preserve">Running head: </w:t>
    </w:r>
    <w:bookmarkStart w:id="1" w:name="_Hlk44776174"/>
    <w:r>
      <w:t xml:space="preserve">CHARITABLE CONTRIBUTIONS AND DEBT: A COMPARISON OF ST. JUDE CHILDREN’S RESEARCH HOSPITAL/ALSAC AND UNIVERSAL HEALTH </w:t>
    </w:r>
    <w:bookmarkEnd w:id="1"/>
    <w:r>
      <w:t>SERVICES</w:t>
    </w:r>
    <w:sdt>
      <w:sdtPr>
        <w:id w:val="-815645911"/>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5B840BF4" w14:textId="77777777" w:rsidR="005E7357" w:rsidRDefault="005E7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531CB"/>
    <w:multiLevelType w:val="hybridMultilevel"/>
    <w:tmpl w:val="FF98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72738"/>
    <w:multiLevelType w:val="hybridMultilevel"/>
    <w:tmpl w:val="15A0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CD"/>
    <w:rsid w:val="000D0366"/>
    <w:rsid w:val="000D6DE4"/>
    <w:rsid w:val="000E0CF2"/>
    <w:rsid w:val="001E3D7A"/>
    <w:rsid w:val="002B6CDB"/>
    <w:rsid w:val="0044516E"/>
    <w:rsid w:val="0054737C"/>
    <w:rsid w:val="005E7357"/>
    <w:rsid w:val="005E7C54"/>
    <w:rsid w:val="006337F9"/>
    <w:rsid w:val="006A38D7"/>
    <w:rsid w:val="007B7E10"/>
    <w:rsid w:val="00846EC0"/>
    <w:rsid w:val="009717DA"/>
    <w:rsid w:val="00980096"/>
    <w:rsid w:val="00A32AEC"/>
    <w:rsid w:val="00B94DF3"/>
    <w:rsid w:val="00BF0676"/>
    <w:rsid w:val="00C40EA3"/>
    <w:rsid w:val="00D61877"/>
    <w:rsid w:val="00D62CF3"/>
    <w:rsid w:val="00D84C09"/>
    <w:rsid w:val="00D93339"/>
    <w:rsid w:val="00DB3660"/>
    <w:rsid w:val="00E82FA4"/>
    <w:rsid w:val="00EB5FD6"/>
    <w:rsid w:val="00EC19DA"/>
    <w:rsid w:val="00F303CD"/>
    <w:rsid w:val="00F61A86"/>
    <w:rsid w:val="00FE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62D1"/>
  <w15:chartTrackingRefBased/>
  <w15:docId w15:val="{B4D74FA0-3735-49A5-82B2-85FF3577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60"/>
    <w:pPr>
      <w:ind w:left="720"/>
      <w:contextualSpacing/>
    </w:pPr>
  </w:style>
  <w:style w:type="paragraph" w:styleId="Header">
    <w:name w:val="header"/>
    <w:basedOn w:val="Normal"/>
    <w:link w:val="HeaderChar"/>
    <w:uiPriority w:val="99"/>
    <w:unhideWhenUsed/>
    <w:rsid w:val="005E7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357"/>
  </w:style>
  <w:style w:type="paragraph" w:styleId="Footer">
    <w:name w:val="footer"/>
    <w:basedOn w:val="Normal"/>
    <w:link w:val="FooterChar"/>
    <w:uiPriority w:val="99"/>
    <w:unhideWhenUsed/>
    <w:rsid w:val="005E7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357"/>
  </w:style>
  <w:style w:type="paragraph" w:styleId="Bibliography">
    <w:name w:val="Bibliography"/>
    <w:basedOn w:val="Normal"/>
    <w:next w:val="Normal"/>
    <w:uiPriority w:val="37"/>
    <w:unhideWhenUsed/>
    <w:rsid w:val="00EC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12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UHS20</b:Tag>
    <b:SourceType>InternetSite</b:SourceType>
    <b:Guid>{87985651-7463-408A-AAB5-9BE8F334B12F}</b:Guid>
    <b:Author>
      <b:Author>
        <b:NameList>
          <b:Person>
            <b:Last>UHS</b:Last>
          </b:Person>
        </b:NameList>
      </b:Author>
    </b:Author>
    <b:Title>Universal Health Services INC (UHS) SEC Filling 10-K Annual Report for the Fiscal Year ending Tuesday, December 31, 2019</b:Title>
    <b:InternetSiteTitle>Last10k.com</b:InternetSiteTitle>
    <b:Year>2020</b:Year>
    <b:Month>February</b:Month>
    <b:Day>26</b:Day>
    <b:URL>https://last10k.com/sec-filings/uhs</b:URL>
    <b:RefOrder>1</b:RefOrder>
  </b:Source>
  <b:Source>
    <b:Tag>Tho14</b:Tag>
    <b:SourceType>Report</b:SourceType>
    <b:Guid>{89D2668B-2654-42EF-8415-5F33A033D87B}</b:Guid>
    <b:Title>A Guide to Financial to Financial Statements of Not-For-Profit Organizations: Questions For Directors to Ask</b:Title>
    <b:Year>2014</b:Year>
    <b:Author>
      <b:Author>
        <b:NameList>
          <b:Person>
            <b:Last>Thomas</b:Last>
            <b:First>H.</b:First>
          </b:Person>
          <b:Person>
            <b:Last>Guertin</b:Last>
            <b:First>A.</b:First>
          </b:Person>
          <b:Person>
            <b:Last>Held</b:Last>
            <b:First>B.</b:First>
          </b:Person>
          <b:Person>
            <b:Last>Smith</b:Last>
            <b:First>C.</b:First>
          </b:Person>
          <b:Person>
            <b:Last>Rosati</b:Last>
            <b:First>D.</b:First>
          </b:Person>
          <b:Person>
            <b:Last>HayHurst</b:Last>
            <b:First>D.</b:First>
          </b:Person>
          <b:Person>
            <b:Last>Meikle</b:Last>
            <b:First>G.</b:First>
          </b:Person>
          <b:Person>
            <b:Last>Walker</b:Last>
            <b:First>J.</b:First>
          </b:Person>
        </b:NameList>
      </b:Author>
    </b:Author>
    <b:Publisher>The Canadian Institute of Chartered Accountants </b:Publisher>
    <b:City>Toronto, Ontario</b:City>
    <b:RefOrder>2</b:RefOrder>
  </b:Source>
</b:Sources>
</file>

<file path=customXml/itemProps1.xml><?xml version="1.0" encoding="utf-8"?>
<ds:datastoreItem xmlns:ds="http://schemas.openxmlformats.org/officeDocument/2006/customXml" ds:itemID="{8605C473-9E5D-4CB5-B919-483787B4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 JK</dc:creator>
  <cp:keywords/>
  <dc:description/>
  <cp:lastModifiedBy>Waweru JK</cp:lastModifiedBy>
  <cp:revision>6</cp:revision>
  <dcterms:created xsi:type="dcterms:W3CDTF">2020-07-04T08:57:00Z</dcterms:created>
  <dcterms:modified xsi:type="dcterms:W3CDTF">2020-07-04T16:11:00Z</dcterms:modified>
</cp:coreProperties>
</file>